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3" w:rsidRPr="007E52F8" w:rsidRDefault="004659F3">
      <w:pPr>
        <w:rPr>
          <w:sz w:val="2"/>
          <w:szCs w:val="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6902"/>
      </w:tblGrid>
      <w:tr w:rsidR="001A29FE">
        <w:tc>
          <w:tcPr>
            <w:tcW w:w="2879" w:type="dxa"/>
          </w:tcPr>
          <w:p w:rsidR="001A29FE" w:rsidRDefault="001A29FE" w:rsidP="001A29FE">
            <w:pPr>
              <w:ind w:left="-284" w:right="-1"/>
            </w:pPr>
            <w:r>
              <w:t xml:space="preserve">   </w:t>
            </w:r>
            <w:bookmarkStart w:id="0" w:name="_MON_1063800526"/>
            <w:bookmarkEnd w:id="0"/>
            <w:r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73.5pt" o:ole="">
                  <v:imagedata r:id="rId8" o:title=""/>
                </v:shape>
                <o:OLEObject Type="Embed" ProgID="Word.Picture.8" ShapeID="_x0000_i1025" DrawAspect="Content" ObjectID="_1768980283" r:id="rId9"/>
              </w:object>
            </w:r>
          </w:p>
        </w:tc>
        <w:tc>
          <w:tcPr>
            <w:tcW w:w="6902" w:type="dxa"/>
          </w:tcPr>
          <w:p w:rsidR="001A29FE" w:rsidRDefault="001A29FE" w:rsidP="001A29FE">
            <w:pPr>
              <w:ind w:right="-1"/>
              <w:rPr>
                <w:sz w:val="20"/>
              </w:rPr>
            </w:pPr>
          </w:p>
          <w:p w:rsidR="001A29FE" w:rsidRPr="007E52F8" w:rsidRDefault="001A29FE" w:rsidP="001A29FE">
            <w:pPr>
              <w:ind w:right="-1"/>
              <w:rPr>
                <w:rFonts w:ascii="Times New Roman" w:hAnsi="Times New Roman"/>
                <w:sz w:val="36"/>
              </w:rPr>
            </w:pPr>
            <w:r w:rsidRPr="007E52F8">
              <w:rPr>
                <w:rFonts w:ascii="Times New Roman" w:hAnsi="Times New Roman"/>
                <w:sz w:val="36"/>
              </w:rPr>
              <w:t>AMTSGERICHT EMMENDINGEN</w:t>
            </w:r>
          </w:p>
          <w:p w:rsidR="001A29FE" w:rsidRPr="004D387E" w:rsidRDefault="001A29FE" w:rsidP="001A29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7E52F8">
              <w:rPr>
                <w:rFonts w:ascii="Times New Roman" w:hAnsi="Times New Roman"/>
                <w:sz w:val="32"/>
                <w:szCs w:val="28"/>
              </w:rPr>
              <w:t xml:space="preserve">                </w:t>
            </w:r>
            <w:r w:rsidRPr="007E52F8">
              <w:rPr>
                <w:rFonts w:ascii="Times New Roman" w:hAnsi="Times New Roman"/>
                <w:sz w:val="28"/>
                <w:szCs w:val="28"/>
              </w:rPr>
              <w:t>- Vollstreckungsgericht-</w:t>
            </w:r>
          </w:p>
        </w:tc>
      </w:tr>
    </w:tbl>
    <w:p w:rsidR="004659F3" w:rsidRDefault="004659F3"/>
    <w:p w:rsidR="004659F3" w:rsidRDefault="004659F3"/>
    <w:p w:rsidR="004659F3" w:rsidRDefault="004659F3"/>
    <w:p w:rsidR="004659F3" w:rsidRDefault="004659F3"/>
    <w:p w:rsidR="004659F3" w:rsidRDefault="004659F3"/>
    <w:p w:rsidR="00FB31AE" w:rsidRDefault="00FB31AE"/>
    <w:p w:rsidR="00FB31AE" w:rsidRDefault="00FB31AE"/>
    <w:p w:rsidR="00FB31AE" w:rsidRDefault="00FB31AE"/>
    <w:p w:rsidR="00FB31AE" w:rsidRDefault="00FB31AE"/>
    <w:p w:rsidR="004659F3" w:rsidRDefault="004659F3">
      <w:pPr>
        <w:pStyle w:val="Umschlagabsenderadresse"/>
      </w:pPr>
      <w:r>
        <w:t>HINWEISE ZUM</w:t>
      </w:r>
    </w:p>
    <w:p w:rsidR="004659F3" w:rsidRDefault="004659F3">
      <w:pPr>
        <w:rPr>
          <w:b/>
        </w:rPr>
      </w:pPr>
    </w:p>
    <w:p w:rsidR="004659F3" w:rsidRDefault="004659F3">
      <w:pPr>
        <w:jc w:val="center"/>
        <w:rPr>
          <w:b/>
          <w:sz w:val="44"/>
        </w:rPr>
      </w:pPr>
      <w:r>
        <w:rPr>
          <w:b/>
          <w:sz w:val="44"/>
        </w:rPr>
        <w:t>IMMOBILIENERWERB</w:t>
      </w:r>
    </w:p>
    <w:p w:rsidR="004659F3" w:rsidRDefault="004659F3">
      <w:pPr>
        <w:jc w:val="center"/>
        <w:rPr>
          <w:b/>
          <w:sz w:val="44"/>
        </w:rPr>
      </w:pPr>
      <w:r>
        <w:rPr>
          <w:b/>
          <w:sz w:val="44"/>
        </w:rPr>
        <w:t>IN DER</w:t>
      </w:r>
    </w:p>
    <w:p w:rsidR="004659F3" w:rsidRDefault="004659F3">
      <w:pPr>
        <w:jc w:val="center"/>
        <w:rPr>
          <w:b/>
          <w:sz w:val="44"/>
        </w:rPr>
      </w:pPr>
      <w:r>
        <w:rPr>
          <w:b/>
          <w:sz w:val="44"/>
        </w:rPr>
        <w:t>ZWANGSVERSTEIGERUNG</w:t>
      </w:r>
    </w:p>
    <w:p w:rsidR="004659F3" w:rsidRDefault="00BF1EC7" w:rsidP="00BF1EC7">
      <w:pPr>
        <w:jc w:val="center"/>
        <w:rPr>
          <w:bCs/>
        </w:rPr>
      </w:pPr>
      <w:r>
        <w:rPr>
          <w:bCs/>
        </w:rPr>
        <w:t>(Stand 01.01.2024)</w:t>
      </w:r>
    </w:p>
    <w:p w:rsidR="004659F3" w:rsidRDefault="004659F3">
      <w:pPr>
        <w:rPr>
          <w:bCs/>
        </w:rPr>
      </w:pPr>
    </w:p>
    <w:p w:rsidR="004659F3" w:rsidRDefault="004659F3">
      <w:pPr>
        <w:rPr>
          <w:bCs/>
        </w:rPr>
      </w:pPr>
    </w:p>
    <w:p w:rsidR="00FB31AE" w:rsidRDefault="00FB31AE">
      <w:pPr>
        <w:rPr>
          <w:bCs/>
        </w:rPr>
      </w:pPr>
    </w:p>
    <w:p w:rsidR="00FB31AE" w:rsidRDefault="00FB31AE">
      <w:pPr>
        <w:rPr>
          <w:bCs/>
        </w:rPr>
      </w:pPr>
    </w:p>
    <w:p w:rsidR="00FB31AE" w:rsidRDefault="00FB31AE">
      <w:pPr>
        <w:rPr>
          <w:bCs/>
        </w:rPr>
      </w:pPr>
    </w:p>
    <w:p w:rsidR="004659F3" w:rsidRDefault="004659F3">
      <w:pPr>
        <w:jc w:val="center"/>
        <w:rPr>
          <w:bCs/>
        </w:rPr>
      </w:pPr>
    </w:p>
    <w:p w:rsidR="004659F3" w:rsidRDefault="004659F3">
      <w:pPr>
        <w:jc w:val="center"/>
        <w:rPr>
          <w:bCs/>
        </w:rPr>
      </w:pPr>
    </w:p>
    <w:p w:rsidR="004659F3" w:rsidRDefault="004659F3">
      <w:pPr>
        <w:jc w:val="center"/>
        <w:rPr>
          <w:bCs/>
        </w:rPr>
      </w:pPr>
    </w:p>
    <w:p w:rsidR="004659F3" w:rsidRDefault="004659F3">
      <w:pPr>
        <w:jc w:val="center"/>
        <w:rPr>
          <w:bCs/>
        </w:rPr>
      </w:pPr>
      <w:r>
        <w:rPr>
          <w:bCs/>
        </w:rPr>
        <w:t>Weitere Fragen beantwortet Ihnen gerne der</w:t>
      </w:r>
    </w:p>
    <w:p w:rsidR="007E52F8" w:rsidRDefault="004659F3">
      <w:pPr>
        <w:jc w:val="center"/>
        <w:rPr>
          <w:bCs/>
        </w:rPr>
      </w:pPr>
      <w:r>
        <w:rPr>
          <w:bCs/>
        </w:rPr>
        <w:t>Servicebereich für Zwangsversteigerungssachen</w:t>
      </w:r>
    </w:p>
    <w:p w:rsidR="007E52F8" w:rsidRDefault="007E52F8">
      <w:pPr>
        <w:jc w:val="center"/>
        <w:rPr>
          <w:bCs/>
        </w:rPr>
      </w:pPr>
    </w:p>
    <w:p w:rsidR="00C1617F" w:rsidRDefault="00C1617F" w:rsidP="00C1617F">
      <w:pPr>
        <w:jc w:val="center"/>
        <w:rPr>
          <w:bCs/>
        </w:rPr>
      </w:pPr>
      <w:r>
        <w:rPr>
          <w:bCs/>
        </w:rPr>
        <w:t>Tel.:07641 96587-80</w:t>
      </w:r>
      <w:r w:rsidR="00FB7525">
        <w:rPr>
          <w:bCs/>
        </w:rPr>
        <w:t>6</w:t>
      </w:r>
      <w:r w:rsidR="00D40957">
        <w:rPr>
          <w:bCs/>
        </w:rPr>
        <w:t xml:space="preserve"> (</w:t>
      </w:r>
      <w:r w:rsidR="00640F94">
        <w:rPr>
          <w:bCs/>
        </w:rPr>
        <w:t>ganztag</w:t>
      </w:r>
      <w:r>
        <w:rPr>
          <w:bCs/>
        </w:rPr>
        <w:t>s</w:t>
      </w:r>
      <w:r w:rsidR="00D40957">
        <w:rPr>
          <w:bCs/>
        </w:rPr>
        <w:t>)</w:t>
      </w:r>
    </w:p>
    <w:p w:rsidR="00C1617F" w:rsidRDefault="00C1617F" w:rsidP="00C1617F">
      <w:pPr>
        <w:jc w:val="center"/>
        <w:rPr>
          <w:bCs/>
        </w:rPr>
      </w:pPr>
    </w:p>
    <w:p w:rsidR="00C011AD" w:rsidRDefault="007E52F8" w:rsidP="00C1617F">
      <w:pPr>
        <w:jc w:val="center"/>
        <w:rPr>
          <w:bCs/>
        </w:rPr>
      </w:pPr>
      <w:r>
        <w:rPr>
          <w:bCs/>
        </w:rPr>
        <w:t>Tel.:07641 96587-8</w:t>
      </w:r>
      <w:r w:rsidR="00FB7525">
        <w:rPr>
          <w:bCs/>
        </w:rPr>
        <w:t>05</w:t>
      </w:r>
      <w:r>
        <w:rPr>
          <w:bCs/>
        </w:rPr>
        <w:t xml:space="preserve"> </w:t>
      </w:r>
      <w:r w:rsidR="00D40957">
        <w:rPr>
          <w:bCs/>
        </w:rPr>
        <w:t>(</w:t>
      </w:r>
      <w:r w:rsidR="00914499">
        <w:rPr>
          <w:bCs/>
        </w:rPr>
        <w:t>ganztags</w:t>
      </w:r>
      <w:r w:rsidR="00D40957">
        <w:rPr>
          <w:bCs/>
        </w:rPr>
        <w:t>)</w:t>
      </w:r>
    </w:p>
    <w:p w:rsidR="004659F3" w:rsidRDefault="004659F3">
      <w:pPr>
        <w:jc w:val="center"/>
        <w:rPr>
          <w:b/>
        </w:rPr>
      </w:pPr>
    </w:p>
    <w:p w:rsidR="004659F3" w:rsidRDefault="004659F3" w:rsidP="007E52F8">
      <w:pPr>
        <w:rPr>
          <w:b/>
        </w:rPr>
      </w:pPr>
      <w:r>
        <w:rPr>
          <w:b/>
        </w:rPr>
        <w:br w:type="page"/>
      </w:r>
    </w:p>
    <w:p w:rsidR="00AA6DFC" w:rsidRDefault="004659F3" w:rsidP="00BB16B1">
      <w:pPr>
        <w:jc w:val="both"/>
      </w:pPr>
      <w:r>
        <w:lastRenderedPageBreak/>
        <w:t xml:space="preserve">Sie sind an einer Immobilie interessiert, die ihm Rahmen einer Zwangsversteigerung </w:t>
      </w:r>
    </w:p>
    <w:p w:rsidR="004659F3" w:rsidRDefault="004659F3" w:rsidP="00BB16B1">
      <w:pPr>
        <w:jc w:val="both"/>
      </w:pPr>
      <w:r>
        <w:t>veräußert wird?</w:t>
      </w:r>
    </w:p>
    <w:p w:rsidR="004659F3" w:rsidRDefault="004659F3" w:rsidP="00BB16B1">
      <w:pPr>
        <w:jc w:val="both"/>
      </w:pPr>
    </w:p>
    <w:p w:rsidR="00AA6DFC" w:rsidRDefault="004659F3" w:rsidP="00BB16B1">
      <w:pPr>
        <w:jc w:val="both"/>
      </w:pPr>
      <w:r>
        <w:t xml:space="preserve">Dann dürfen wir Ihnen mit diesem Hinweisblatt einige grundsätzliche Informationen </w:t>
      </w:r>
    </w:p>
    <w:p w:rsidR="00276C09" w:rsidRDefault="004659F3" w:rsidP="00BB16B1">
      <w:pPr>
        <w:jc w:val="both"/>
      </w:pPr>
      <w:r>
        <w:t>vermitteln.</w:t>
      </w:r>
    </w:p>
    <w:p w:rsidR="004659F3" w:rsidRDefault="00276C09" w:rsidP="00BB16B1">
      <w:pPr>
        <w:jc w:val="both"/>
      </w:pPr>
      <w:r>
        <w:t xml:space="preserve">Bitte beachten Sie, dass </w:t>
      </w:r>
      <w:r w:rsidR="004659F3">
        <w:t xml:space="preserve">Zwangsversteigerungsverfahren </w:t>
      </w:r>
      <w:r>
        <w:t xml:space="preserve">einen unterschiedlichen Verlauf nehmen können, so dass </w:t>
      </w:r>
      <w:r w:rsidR="004659F3">
        <w:t xml:space="preserve">nicht auszuschließen ist, dass auch in dem Verfahren, </w:t>
      </w:r>
      <w:r>
        <w:t xml:space="preserve">in dem die Immobilie angeboten wird, für die Sie sich </w:t>
      </w:r>
      <w:r w:rsidR="004659F3">
        <w:t>interessieren, Besonderheiten auftreten können. Diese können dann im Versteigerungstermin erörtert werden.</w:t>
      </w:r>
    </w:p>
    <w:p w:rsidR="004659F3" w:rsidRDefault="004659F3" w:rsidP="00BB16B1">
      <w:pPr>
        <w:jc w:val="both"/>
      </w:pPr>
    </w:p>
    <w:p w:rsidR="004659F3" w:rsidRDefault="004659F3"/>
    <w:p w:rsidR="004659F3" w:rsidRDefault="004659F3">
      <w:pPr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>Informationen zum Grundbesitz als solchem:</w:t>
      </w:r>
    </w:p>
    <w:p w:rsidR="004659F3" w:rsidRDefault="004659F3"/>
    <w:p w:rsidR="004659F3" w:rsidRDefault="004659F3">
      <w:pPr>
        <w:ind w:left="708"/>
      </w:pPr>
      <w:r>
        <w:t>Als hauptsächliche Informationsquelle steht Ihnen das Gutachten eines vom Gericht bestellten Sachverständigen zur Verfügung (Verkehrswertgutachten).</w:t>
      </w:r>
    </w:p>
    <w:p w:rsidR="00276C09" w:rsidRDefault="00276C09" w:rsidP="00276C09"/>
    <w:p w:rsidR="004659F3" w:rsidRDefault="00FB7525">
      <w:pPr>
        <w:ind w:left="708"/>
      </w:pPr>
      <w:r>
        <w:t>Einsichtsmöglichkeiten:</w:t>
      </w:r>
      <w:r>
        <w:tab/>
      </w:r>
      <w:r>
        <w:tab/>
      </w:r>
      <w:r w:rsidR="004659F3">
        <w:t xml:space="preserve">Zimmer </w:t>
      </w:r>
      <w:r>
        <w:rPr>
          <w:b/>
        </w:rPr>
        <w:t xml:space="preserve">06 und 05 </w:t>
      </w:r>
      <w:r w:rsidR="00640F94">
        <w:rPr>
          <w:b/>
          <w:bCs/>
        </w:rPr>
        <w:t>(</w:t>
      </w:r>
      <w:r w:rsidR="004659F3">
        <w:t>Erdgeschoss</w:t>
      </w:r>
      <w:r>
        <w:t xml:space="preserve"> Haupt</w:t>
      </w:r>
      <w:r w:rsidR="00640F94">
        <w:t>haus)</w:t>
      </w:r>
    </w:p>
    <w:p w:rsidR="004659F3" w:rsidRDefault="00FB7525" w:rsidP="005F2354">
      <w:pPr>
        <w:ind w:left="4953" w:hanging="4245"/>
      </w:pPr>
      <w:r>
        <w:t xml:space="preserve">Ansprechpartner:                         </w:t>
      </w:r>
      <w:r w:rsidR="007C780C">
        <w:t xml:space="preserve">Frau </w:t>
      </w:r>
      <w:r>
        <w:t>Kopf</w:t>
      </w:r>
      <w:r w:rsidR="00C1617F">
        <w:t xml:space="preserve"> </w:t>
      </w:r>
      <w:r w:rsidR="005F2354">
        <w:t xml:space="preserve">oder </w:t>
      </w:r>
      <w:r w:rsidR="001C58A3">
        <w:t xml:space="preserve">Frau </w:t>
      </w:r>
      <w:r w:rsidR="00DF6F0F">
        <w:t>Wricke</w:t>
      </w:r>
    </w:p>
    <w:p w:rsidR="004659F3" w:rsidRDefault="00FB7525">
      <w:pPr>
        <w:ind w:left="708"/>
      </w:pPr>
      <w:r>
        <w:t>Dienstzeiten:</w:t>
      </w:r>
      <w:r>
        <w:tab/>
      </w:r>
      <w:r>
        <w:tab/>
      </w:r>
      <w:r>
        <w:tab/>
      </w:r>
      <w:r>
        <w:tab/>
      </w:r>
      <w:r w:rsidR="004659F3">
        <w:t xml:space="preserve">Mo - </w:t>
      </w:r>
      <w:r w:rsidR="00B14B17">
        <w:t>Fr.</w:t>
      </w:r>
      <w:r w:rsidR="004659F3">
        <w:t xml:space="preserve">  0</w:t>
      </w:r>
      <w:r w:rsidR="005F2354">
        <w:t>9.00</w:t>
      </w:r>
      <w:r w:rsidR="004659F3">
        <w:t xml:space="preserve"> Uhr bis 1</w:t>
      </w:r>
      <w:r w:rsidR="005F2354">
        <w:t>2.0</w:t>
      </w:r>
      <w:r w:rsidR="004659F3">
        <w:t>0 Uhr</w:t>
      </w:r>
    </w:p>
    <w:p w:rsidR="004659F3" w:rsidRDefault="00FB752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 w:rsidR="004659F3">
        <w:t>sowie ggf. nach telefonischer Vereinbarung</w:t>
      </w:r>
    </w:p>
    <w:p w:rsidR="004659F3" w:rsidRDefault="00FB752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 w:rsidR="007E52F8">
        <w:t>(Tel.: 07641 96587</w:t>
      </w:r>
      <w:r w:rsidR="00C1617F">
        <w:t>-80</w:t>
      </w:r>
      <w:r>
        <w:t>6</w:t>
      </w:r>
      <w:r w:rsidR="006B56DE">
        <w:t xml:space="preserve"> oder </w:t>
      </w:r>
      <w:r w:rsidR="00C1617F">
        <w:t>-8</w:t>
      </w:r>
      <w:r>
        <w:t>05</w:t>
      </w:r>
      <w:r w:rsidR="004659F3">
        <w:t>)</w:t>
      </w:r>
    </w:p>
    <w:p w:rsidR="00276C09" w:rsidRDefault="00276C09">
      <w:pPr>
        <w:ind w:left="708"/>
      </w:pPr>
    </w:p>
    <w:p w:rsidR="004659F3" w:rsidRDefault="00276C09">
      <w:pPr>
        <w:ind w:left="708"/>
      </w:pPr>
      <w:r>
        <w:t>Sobald Versteigerungstermin anberaumt ist,</w:t>
      </w:r>
      <w:r w:rsidR="00EE2382">
        <w:t xml:space="preserve"> ist</w:t>
      </w:r>
      <w:r>
        <w:t xml:space="preserve"> das Gutachten auch über Int</w:t>
      </w:r>
      <w:r w:rsidR="00BB16B1">
        <w:t xml:space="preserve">ernet abrufbar </w:t>
      </w:r>
      <w:r w:rsidR="00932C17">
        <w:rPr>
          <w:b/>
        </w:rPr>
        <w:t>(</w:t>
      </w:r>
      <w:hyperlink r:id="rId10" w:history="1">
        <w:r w:rsidR="00FB7525" w:rsidRPr="005E7C32">
          <w:rPr>
            <w:rStyle w:val="Hyperlink"/>
            <w:b/>
          </w:rPr>
          <w:t>www.versteigerungspool.de</w:t>
        </w:r>
      </w:hyperlink>
      <w:r w:rsidR="00BB16B1" w:rsidRPr="00BB16B1">
        <w:rPr>
          <w:b/>
        </w:rPr>
        <w:t>).</w:t>
      </w:r>
    </w:p>
    <w:p w:rsidR="00276C09" w:rsidRDefault="00276C09">
      <w:pPr>
        <w:ind w:left="708"/>
      </w:pPr>
    </w:p>
    <w:p w:rsidR="00276C09" w:rsidRDefault="00276C09">
      <w:pPr>
        <w:ind w:left="708"/>
      </w:pPr>
    </w:p>
    <w:p w:rsidR="00AA6DFC" w:rsidRDefault="00AA6DFC">
      <w:pPr>
        <w:ind w:left="708"/>
      </w:pPr>
    </w:p>
    <w:p w:rsidR="004659F3" w:rsidRDefault="004659F3">
      <w:pPr>
        <w:ind w:left="708"/>
      </w:pPr>
      <w:r>
        <w:rPr>
          <w:u w:val="single"/>
        </w:rPr>
        <w:t>Besichtigungsmöglichkeiten:</w:t>
      </w:r>
    </w:p>
    <w:p w:rsidR="004659F3" w:rsidRDefault="004659F3">
      <w:pPr>
        <w:ind w:left="708"/>
      </w:pPr>
    </w:p>
    <w:p w:rsidR="00AA6DFC" w:rsidRDefault="004659F3" w:rsidP="00BB16B1">
      <w:pPr>
        <w:ind w:left="708"/>
        <w:jc w:val="both"/>
      </w:pPr>
      <w:r>
        <w:t xml:space="preserve">Den Zutritt zum Objekt kann das Gericht weder für sich noch für den Sachverständigen erzwingen und damit leider auch nicht für Sie als Bietinteressenten. Es ist </w:t>
      </w:r>
    </w:p>
    <w:p w:rsidR="00AA6DFC" w:rsidRDefault="004659F3" w:rsidP="00BB16B1">
      <w:pPr>
        <w:ind w:left="708"/>
        <w:jc w:val="both"/>
      </w:pPr>
      <w:r>
        <w:t>allein Sache des Vollstreckungsschuldners, wem er Zutritt gewährt (es handelt sich schließlich u</w:t>
      </w:r>
      <w:r w:rsidR="00AA6DFC">
        <w:t>m eine Zwangsmaßnahme). Verweigert der Schuldner eine Innenbesichtigung,</w:t>
      </w:r>
      <w:r>
        <w:t xml:space="preserve"> müssen Gericht und Sachverständiger den Verkehrswert nach dem </w:t>
      </w:r>
    </w:p>
    <w:p w:rsidR="00AA6DFC" w:rsidRDefault="004659F3" w:rsidP="00BB16B1">
      <w:pPr>
        <w:ind w:left="708"/>
        <w:jc w:val="both"/>
      </w:pPr>
      <w:r>
        <w:t>äußeren Anschein und nach amtlichen Unterlagen beurteilen. Der Schuldn</w:t>
      </w:r>
      <w:r w:rsidR="00AA6DFC">
        <w:t>er hat dann aber auch hinzunehmen, dass</w:t>
      </w:r>
      <w:r>
        <w:t xml:space="preserve"> durch den Sachverständigen</w:t>
      </w:r>
      <w:r w:rsidR="00AA6DFC">
        <w:t xml:space="preserve"> u.a. </w:t>
      </w:r>
      <w:r>
        <w:t>ei</w:t>
      </w:r>
      <w:r w:rsidR="00AA6DFC">
        <w:t>n</w:t>
      </w:r>
    </w:p>
    <w:p w:rsidR="00AA6DFC" w:rsidRDefault="004659F3" w:rsidP="00BB16B1">
      <w:pPr>
        <w:ind w:left="708"/>
        <w:jc w:val="both"/>
      </w:pPr>
      <w:r>
        <w:t>Sicherheitsabschlag von üblicherwei</w:t>
      </w:r>
      <w:r w:rsidR="00AA6DFC">
        <w:t>se 10 % vorgenommen</w:t>
      </w:r>
      <w:r w:rsidR="005E0206">
        <w:t xml:space="preserve"> wird.</w:t>
      </w:r>
    </w:p>
    <w:p w:rsidR="00AA6DFC" w:rsidRDefault="00AA6DFC" w:rsidP="00BB16B1">
      <w:pPr>
        <w:ind w:left="708"/>
        <w:jc w:val="both"/>
      </w:pPr>
    </w:p>
    <w:p w:rsidR="00AA6DFC" w:rsidRDefault="004659F3" w:rsidP="00BB16B1">
      <w:pPr>
        <w:ind w:left="708"/>
        <w:jc w:val="both"/>
      </w:pPr>
      <w:r>
        <w:t xml:space="preserve">Obwohl bei Ihnen als Bietinteressenten der Eindruck entstehen kann, ohne Innenbesichtigung ein bisschen „die Katze im Sack“ zu kaufen, kann durch diesen </w:t>
      </w:r>
    </w:p>
    <w:p w:rsidR="004659F3" w:rsidRDefault="004659F3" w:rsidP="00BB16B1">
      <w:pPr>
        <w:ind w:left="708"/>
        <w:jc w:val="both"/>
      </w:pPr>
      <w:r>
        <w:t xml:space="preserve">Sicherheitsabschlag das Objekt finanziell </w:t>
      </w:r>
      <w:r w:rsidR="00AA6DFC">
        <w:t xml:space="preserve">aber auch recht </w:t>
      </w:r>
      <w:r>
        <w:t>attraktiv werden.</w:t>
      </w:r>
    </w:p>
    <w:p w:rsidR="004659F3" w:rsidRDefault="004659F3">
      <w:pPr>
        <w:ind w:left="708"/>
      </w:pPr>
      <w:r>
        <w:br w:type="page"/>
      </w:r>
    </w:p>
    <w:p w:rsidR="004659F3" w:rsidRDefault="004659F3">
      <w:pPr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lastRenderedPageBreak/>
        <w:t>Zum eigentlichen Versteigerungstermin</w:t>
      </w:r>
    </w:p>
    <w:p w:rsidR="004659F3" w:rsidRDefault="004659F3">
      <w:pPr>
        <w:rPr>
          <w:b/>
          <w:u w:val="single"/>
        </w:rPr>
      </w:pPr>
    </w:p>
    <w:p w:rsidR="004659F3" w:rsidRDefault="004659F3">
      <w:pPr>
        <w:numPr>
          <w:ilvl w:val="0"/>
          <w:numId w:val="22"/>
        </w:numPr>
        <w:rPr>
          <w:u w:val="single"/>
        </w:rPr>
      </w:pPr>
      <w:r>
        <w:rPr>
          <w:u w:val="single"/>
        </w:rPr>
        <w:t>Was ist mitzubringen:</w:t>
      </w:r>
    </w:p>
    <w:p w:rsidR="004659F3" w:rsidRDefault="004659F3">
      <w:pPr>
        <w:rPr>
          <w:u w:val="single"/>
        </w:rPr>
      </w:pPr>
    </w:p>
    <w:p w:rsidR="004659F3" w:rsidRDefault="004659F3">
      <w:pPr>
        <w:numPr>
          <w:ilvl w:val="0"/>
          <w:numId w:val="23"/>
        </w:numPr>
      </w:pPr>
      <w:r>
        <w:t xml:space="preserve">ein gültiger </w:t>
      </w:r>
      <w:r w:rsidRPr="00CC01A5">
        <w:rPr>
          <w:b/>
        </w:rPr>
        <w:t>Personalausweis</w:t>
      </w:r>
    </w:p>
    <w:p w:rsidR="004659F3" w:rsidRDefault="004659F3"/>
    <w:p w:rsidR="00972AE2" w:rsidRDefault="00972AE2" w:rsidP="00972AE2">
      <w:pPr>
        <w:ind w:left="1068"/>
      </w:pPr>
      <w:r>
        <w:t>b)</w:t>
      </w:r>
      <w:r>
        <w:tab/>
      </w:r>
      <w:r w:rsidR="004659F3" w:rsidRPr="00CC01A5">
        <w:rPr>
          <w:b/>
        </w:rPr>
        <w:t>Sicherheitsleistung</w:t>
      </w:r>
      <w:r w:rsidR="004659F3">
        <w:t xml:space="preserve"> in Höhe von 10 % des Verkehrswertes; </w:t>
      </w:r>
    </w:p>
    <w:p w:rsidR="00CC01A5" w:rsidRDefault="00CC01A5" w:rsidP="00972AE2">
      <w:pPr>
        <w:ind w:left="1068"/>
      </w:pPr>
    </w:p>
    <w:p w:rsidR="00972AE2" w:rsidRDefault="00972AE2" w:rsidP="00972AE2">
      <w:pPr>
        <w:ind w:left="1416"/>
        <w:jc w:val="both"/>
        <w:rPr>
          <w:b/>
          <w:bCs/>
        </w:rPr>
      </w:pPr>
      <w:r w:rsidRPr="00ED1F07">
        <w:rPr>
          <w:b/>
          <w:bCs/>
          <w:u w:val="single"/>
        </w:rPr>
        <w:t>Eine Sicherheitsleistung durch Barzahlung ist aufgrund Gesetzesänderung ab 01.02.2007 ausgeschlossen</w:t>
      </w:r>
      <w:r w:rsidRPr="00ED1F07">
        <w:rPr>
          <w:b/>
          <w:bCs/>
        </w:rPr>
        <w:t xml:space="preserve">. Zur Sicherheitsleistung sind Bundesbankschecks und Verrechnungsschecks eines zum Betreiben von Bankgeschäften berechtigten Kreditinstituts geeignet, die frühestens am dritten Werktag vor dem Versteigerungstermin ausgestellt und im Inland zahlbar sind. </w:t>
      </w:r>
    </w:p>
    <w:p w:rsidR="007E52F8" w:rsidRDefault="00972AE2" w:rsidP="00DF6F0F">
      <w:pPr>
        <w:ind w:left="1416"/>
        <w:jc w:val="both"/>
        <w:rPr>
          <w:b/>
          <w:bCs/>
        </w:rPr>
      </w:pPr>
      <w:r w:rsidRPr="00ED1F07">
        <w:rPr>
          <w:b/>
          <w:bCs/>
        </w:rPr>
        <w:t xml:space="preserve">Die Sicherheit kann auch durch Überweisung geleistet </w:t>
      </w:r>
      <w:r w:rsidR="00DF6F0F">
        <w:rPr>
          <w:b/>
          <w:bCs/>
        </w:rPr>
        <w:t xml:space="preserve">werden. </w:t>
      </w:r>
    </w:p>
    <w:p w:rsidR="00A141A7" w:rsidRDefault="00A141A7" w:rsidP="00972AE2">
      <w:pPr>
        <w:ind w:left="1416"/>
        <w:jc w:val="both"/>
        <w:rPr>
          <w:b/>
          <w:bCs/>
        </w:rPr>
      </w:pPr>
    </w:p>
    <w:p w:rsidR="00DF6F0F" w:rsidRPr="001E2A62" w:rsidRDefault="00DF6F0F" w:rsidP="00972AE2">
      <w:pPr>
        <w:ind w:left="1416"/>
        <w:jc w:val="both"/>
        <w:rPr>
          <w:bCs/>
        </w:rPr>
      </w:pPr>
      <w:r w:rsidRPr="001E2A62">
        <w:rPr>
          <w:bCs/>
        </w:rPr>
        <w:t xml:space="preserve">Die für das jeweilige Verfahren gültigen Informationen bezüglich Kontoverbindung, Akten- und Kassenzeichen finden Sie in der </w:t>
      </w:r>
      <w:proofErr w:type="spellStart"/>
      <w:r w:rsidRPr="001E2A62">
        <w:rPr>
          <w:bCs/>
        </w:rPr>
        <w:t>Terminsveröffentlichung</w:t>
      </w:r>
      <w:proofErr w:type="spellEnd"/>
      <w:r w:rsidRPr="001E2A62">
        <w:rPr>
          <w:bCs/>
        </w:rPr>
        <w:t xml:space="preserve"> der Badischen Zeitung oder unter www.versteigerungspool.de/amtsgerichte/emmendingen</w:t>
      </w:r>
    </w:p>
    <w:p w:rsidR="00DF6F0F" w:rsidRDefault="00DF6F0F" w:rsidP="00972AE2">
      <w:pPr>
        <w:ind w:left="1416"/>
        <w:jc w:val="both"/>
        <w:rPr>
          <w:b/>
          <w:bCs/>
        </w:rPr>
      </w:pPr>
    </w:p>
    <w:p w:rsidR="00972AE2" w:rsidRPr="00ED1F07" w:rsidRDefault="00972AE2" w:rsidP="00972AE2">
      <w:pPr>
        <w:ind w:left="1416"/>
        <w:jc w:val="both"/>
        <w:rPr>
          <w:b/>
          <w:bCs/>
        </w:rPr>
      </w:pPr>
      <w:r w:rsidRPr="00ED1F07">
        <w:rPr>
          <w:b/>
          <w:bCs/>
        </w:rPr>
        <w:t>Bitte beachte</w:t>
      </w:r>
      <w:r>
        <w:rPr>
          <w:b/>
          <w:bCs/>
        </w:rPr>
        <w:t xml:space="preserve">n Sie, dass die Einzahlung in diesem Fall </w:t>
      </w:r>
      <w:r w:rsidRPr="00ED1F07">
        <w:rPr>
          <w:b/>
          <w:bCs/>
        </w:rPr>
        <w:t>so frühzeitig erfolgen muss, dass der Betrag vor dem Versteigerungstermin gutgeschrieben und dem Gericht mitgeteilt werden kann.</w:t>
      </w:r>
    </w:p>
    <w:p w:rsidR="004659F3" w:rsidRDefault="00D7017E" w:rsidP="00BB16B1">
      <w:pPr>
        <w:ind w:left="1416"/>
        <w:jc w:val="both"/>
      </w:pPr>
      <w:r>
        <w:t>Sicherheitsleistung ist auch durch unbefristete, unbedingte und selbstschuldnerische Bankbürgschaft möglich (§ 69 III ZVG).</w:t>
      </w:r>
    </w:p>
    <w:p w:rsidR="00D7017E" w:rsidRDefault="00D7017E" w:rsidP="00BB16B1">
      <w:pPr>
        <w:ind w:left="1416"/>
        <w:jc w:val="both"/>
      </w:pPr>
    </w:p>
    <w:p w:rsidR="00FB31AE" w:rsidRDefault="00FB31AE" w:rsidP="00BB16B1">
      <w:pPr>
        <w:ind w:left="1416" w:hanging="348"/>
        <w:jc w:val="both"/>
      </w:pPr>
      <w:r>
        <w:t>c)</w:t>
      </w:r>
      <w:r>
        <w:tab/>
        <w:t xml:space="preserve">Wenn Sie im Versteigerungstermin selbst nicht erscheinen können, kann Ihr </w:t>
      </w:r>
    </w:p>
    <w:p w:rsidR="00AA6DFC" w:rsidRDefault="00FB31AE" w:rsidP="00BB16B1">
      <w:pPr>
        <w:ind w:left="1416"/>
        <w:jc w:val="both"/>
      </w:pPr>
      <w:r>
        <w:t xml:space="preserve">Vertreter nur dann wirksam Gebote für Sie abgeben, wenn dieser dem </w:t>
      </w:r>
    </w:p>
    <w:p w:rsidR="00FB31AE" w:rsidRDefault="00FB31AE" w:rsidP="00BB16B1">
      <w:pPr>
        <w:ind w:left="1416"/>
        <w:jc w:val="both"/>
      </w:pPr>
      <w:r>
        <w:t xml:space="preserve">Gericht eine </w:t>
      </w:r>
      <w:r w:rsidRPr="00CC01A5">
        <w:rPr>
          <w:b/>
        </w:rPr>
        <w:t xml:space="preserve">öffentlich beglaubigte (notarielle) </w:t>
      </w:r>
      <w:r w:rsidRPr="00CC01A5">
        <w:rPr>
          <w:b/>
          <w:u w:val="single"/>
        </w:rPr>
        <w:t>Bietvollmacht</w:t>
      </w:r>
      <w:r>
        <w:t xml:space="preserve"> vorlegt.</w:t>
      </w:r>
    </w:p>
    <w:p w:rsidR="00FB31AE" w:rsidRDefault="00FB31AE" w:rsidP="00BB16B1">
      <w:pPr>
        <w:jc w:val="both"/>
      </w:pPr>
    </w:p>
    <w:p w:rsidR="004659F3" w:rsidRDefault="007E52F8">
      <w:r>
        <w:br w:type="page"/>
      </w:r>
    </w:p>
    <w:p w:rsidR="004659F3" w:rsidRDefault="004659F3">
      <w:pPr>
        <w:numPr>
          <w:ilvl w:val="0"/>
          <w:numId w:val="22"/>
        </w:numPr>
        <w:rPr>
          <w:u w:val="single"/>
        </w:rPr>
      </w:pPr>
      <w:r>
        <w:rPr>
          <w:u w:val="single"/>
        </w:rPr>
        <w:lastRenderedPageBreak/>
        <w:t>Bietzeit:</w:t>
      </w:r>
    </w:p>
    <w:p w:rsidR="004659F3" w:rsidRDefault="004659F3" w:rsidP="00BB16B1">
      <w:pPr>
        <w:jc w:val="both"/>
        <w:rPr>
          <w:u w:val="single"/>
        </w:rPr>
      </w:pPr>
    </w:p>
    <w:p w:rsidR="00BB16B1" w:rsidRDefault="004659F3" w:rsidP="00BB16B1">
      <w:pPr>
        <w:numPr>
          <w:ilvl w:val="0"/>
          <w:numId w:val="24"/>
        </w:numPr>
        <w:jc w:val="both"/>
      </w:pPr>
      <w:r>
        <w:t xml:space="preserve">Seien Sie bitte pünktlich zum Terminsbeginn anwesend. Denn bevor die eigentliche Versteigerung beginnt (Mindestbietzeit 30 Minuten) werden die Versteigerungsbedingungen (Grundbuchbelastungen etc.) </w:t>
      </w:r>
      <w:r w:rsidR="00AA6DFC">
        <w:t xml:space="preserve">und etwaige </w:t>
      </w:r>
    </w:p>
    <w:p w:rsidR="004659F3" w:rsidRDefault="00AA6DFC" w:rsidP="00BB16B1">
      <w:pPr>
        <w:ind w:left="1068" w:firstLine="348"/>
        <w:jc w:val="both"/>
      </w:pPr>
      <w:r>
        <w:t xml:space="preserve">Besonderheiten </w:t>
      </w:r>
      <w:r w:rsidR="004659F3">
        <w:t>detailliert bekannt gegeben.</w:t>
      </w:r>
    </w:p>
    <w:p w:rsidR="004659F3" w:rsidRDefault="004659F3" w:rsidP="00BB16B1">
      <w:pPr>
        <w:jc w:val="both"/>
      </w:pPr>
    </w:p>
    <w:p w:rsidR="004659F3" w:rsidRDefault="004659F3" w:rsidP="00BB16B1">
      <w:pPr>
        <w:numPr>
          <w:ilvl w:val="0"/>
          <w:numId w:val="24"/>
        </w:numPr>
        <w:jc w:val="both"/>
      </w:pPr>
      <w:r>
        <w:t>Gebote können ausschließlich im Versteigerungstermin im Rahmen der Biet</w:t>
      </w:r>
      <w:r w:rsidR="00EE2382">
        <w:t xml:space="preserve">zeit </w:t>
      </w:r>
      <w:r w:rsidR="00EE2382" w:rsidRPr="00EE2382">
        <w:t xml:space="preserve">und </w:t>
      </w:r>
      <w:r w:rsidRPr="00EE2382">
        <w:t>nur</w:t>
      </w:r>
      <w:r>
        <w:t xml:space="preserve"> mündlich abgegeben werden.</w:t>
      </w:r>
    </w:p>
    <w:p w:rsidR="004659F3" w:rsidRDefault="004659F3" w:rsidP="00BB16B1">
      <w:pPr>
        <w:jc w:val="both"/>
      </w:pPr>
    </w:p>
    <w:p w:rsidR="004659F3" w:rsidRDefault="004659F3" w:rsidP="00BB16B1">
      <w:pPr>
        <w:numPr>
          <w:ilvl w:val="0"/>
          <w:numId w:val="24"/>
        </w:numPr>
        <w:jc w:val="both"/>
      </w:pPr>
      <w:r>
        <w:rPr>
          <w:u w:val="single"/>
        </w:rPr>
        <w:t>Wertgrenzen</w:t>
      </w:r>
    </w:p>
    <w:p w:rsidR="00EE2382" w:rsidRDefault="004659F3" w:rsidP="00BB16B1">
      <w:pPr>
        <w:ind w:left="1416"/>
        <w:jc w:val="both"/>
      </w:pPr>
      <w:r>
        <w:t xml:space="preserve">Das Bestehen von Wertgrenzen (5/10 bzw. 7/10 des Verkehrswerts) kann sich in jedem Versteigerungstermin aufgrund des bisherigen Verfahrensverlaufs anders gestalten; eine ausführliche Information/Erörterung erfolgt im jeweiligen Versteigerungstermin. Grundsätzlich gilt für einen ersten Termin, dass der Zuschlag bei einem Gebot von mindestens 50 % des Verkehrswerts erteilt werden kann. Von Gläubigerseite kann jedoch bei Nichterreichen von 7/10 des Verkehrswertes grundsätzlich Zuschlagsversagung beantragt </w:t>
      </w:r>
    </w:p>
    <w:p w:rsidR="004659F3" w:rsidRDefault="004659F3" w:rsidP="00BB16B1">
      <w:pPr>
        <w:ind w:left="1416"/>
        <w:jc w:val="both"/>
      </w:pPr>
      <w:r>
        <w:t>werden.</w:t>
      </w:r>
    </w:p>
    <w:p w:rsidR="004659F3" w:rsidRDefault="004659F3">
      <w:pPr>
        <w:ind w:left="1416"/>
      </w:pPr>
    </w:p>
    <w:p w:rsidR="004659F3" w:rsidRDefault="004659F3">
      <w:pPr>
        <w:ind w:left="1416"/>
      </w:pPr>
    </w:p>
    <w:p w:rsidR="004659F3" w:rsidRDefault="004659F3">
      <w:pPr>
        <w:ind w:left="1416"/>
      </w:pPr>
    </w:p>
    <w:p w:rsidR="004659F3" w:rsidRDefault="004659F3">
      <w:pPr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>Wann ist das Meistgebot zu bezahlen:</w:t>
      </w:r>
    </w:p>
    <w:p w:rsidR="004659F3" w:rsidRDefault="004659F3">
      <w:pPr>
        <w:rPr>
          <w:b/>
          <w:u w:val="single"/>
        </w:rPr>
      </w:pPr>
    </w:p>
    <w:p w:rsidR="004659F3" w:rsidRDefault="004659F3" w:rsidP="00BB16B1">
      <w:pPr>
        <w:pStyle w:val="Anrede"/>
        <w:ind w:left="709"/>
        <w:jc w:val="both"/>
      </w:pPr>
      <w:r>
        <w:t>Zum Zwecke der Verteilung des Versteigerungserlöses (Meistgebot plus 4 % Zinsen) bestimmt das Gericht einen gesonderten Termin (ca. 4-6 Wochen nach dem Versteigerungstermin).</w:t>
      </w:r>
    </w:p>
    <w:p w:rsidR="00EE2382" w:rsidRDefault="004659F3" w:rsidP="00BB16B1">
      <w:pPr>
        <w:ind w:left="709"/>
        <w:jc w:val="both"/>
      </w:pPr>
      <w:r>
        <w:t>Erst zu diesem Termin hat die Bezahlu</w:t>
      </w:r>
      <w:r w:rsidR="00EE2382">
        <w:t xml:space="preserve">ng des Meistgebots zu erfolgen. </w:t>
      </w:r>
    </w:p>
    <w:p w:rsidR="007D7CFE" w:rsidRDefault="007D7CFE" w:rsidP="00BB16B1">
      <w:pPr>
        <w:ind w:left="709"/>
        <w:jc w:val="both"/>
      </w:pPr>
    </w:p>
    <w:p w:rsidR="00F77781" w:rsidRPr="001E2A62" w:rsidRDefault="00EE2382" w:rsidP="00BB16B1">
      <w:pPr>
        <w:ind w:left="709"/>
        <w:jc w:val="both"/>
      </w:pPr>
      <w:r w:rsidRPr="001E2A62">
        <w:t>D</w:t>
      </w:r>
      <w:r w:rsidR="007D7CFE" w:rsidRPr="001E2A62">
        <w:t xml:space="preserve">as </w:t>
      </w:r>
      <w:proofErr w:type="spellStart"/>
      <w:r w:rsidR="007D7CFE" w:rsidRPr="001E2A62">
        <w:t>Bargebot</w:t>
      </w:r>
      <w:proofErr w:type="spellEnd"/>
      <w:r w:rsidR="007D7CFE" w:rsidRPr="001E2A62">
        <w:t xml:space="preserve"> ist recht</w:t>
      </w:r>
      <w:r w:rsidR="00972AE2" w:rsidRPr="001E2A62">
        <w:t xml:space="preserve">zeitig durch Überweisung oder Einzahlung </w:t>
      </w:r>
      <w:r w:rsidR="007E41F4" w:rsidRPr="001E2A62">
        <w:t>zu entrichten</w:t>
      </w:r>
      <w:r w:rsidR="00F77781" w:rsidRPr="001E2A62">
        <w:t>.</w:t>
      </w:r>
    </w:p>
    <w:p w:rsidR="00A141A7" w:rsidRPr="001E2A62" w:rsidRDefault="00F77781" w:rsidP="00BB16B1">
      <w:pPr>
        <w:ind w:left="709"/>
        <w:jc w:val="both"/>
      </w:pPr>
      <w:r w:rsidRPr="001E2A62">
        <w:t xml:space="preserve">Notwendige Informationen zu dem zu zahlenden Gesamtbetrag und der hierfür </w:t>
      </w:r>
      <w:proofErr w:type="spellStart"/>
      <w:r w:rsidRPr="001E2A62">
        <w:t>gülitgen</w:t>
      </w:r>
      <w:proofErr w:type="spellEnd"/>
      <w:r w:rsidRPr="001E2A62">
        <w:t xml:space="preserve"> Bankverbindung gehen dem Ersteher nach dem Zuschlag auf dem Postweg zu.</w:t>
      </w:r>
    </w:p>
    <w:p w:rsidR="00F77781" w:rsidRPr="001E2A62" w:rsidRDefault="00F77781" w:rsidP="00BB16B1">
      <w:pPr>
        <w:ind w:left="709"/>
        <w:jc w:val="both"/>
      </w:pPr>
    </w:p>
    <w:p w:rsidR="00A141A7" w:rsidRDefault="00A141A7" w:rsidP="00BB16B1">
      <w:pPr>
        <w:ind w:left="709"/>
        <w:jc w:val="both"/>
      </w:pPr>
    </w:p>
    <w:p w:rsidR="004659F3" w:rsidRDefault="007E41F4" w:rsidP="00BB16B1">
      <w:pPr>
        <w:ind w:left="709"/>
        <w:jc w:val="both"/>
      </w:pPr>
      <w:r>
        <w:t>(</w:t>
      </w:r>
      <w:r w:rsidRPr="00EE2382">
        <w:rPr>
          <w:u w:val="single"/>
        </w:rPr>
        <w:t xml:space="preserve">Barzahlung </w:t>
      </w:r>
      <w:r w:rsidR="00BB16B1">
        <w:rPr>
          <w:u w:val="single"/>
        </w:rPr>
        <w:t xml:space="preserve">bei Gericht </w:t>
      </w:r>
      <w:r w:rsidRPr="00EE2382">
        <w:rPr>
          <w:u w:val="single"/>
        </w:rPr>
        <w:t>ist ausgeschlossen</w:t>
      </w:r>
      <w:r>
        <w:t xml:space="preserve">), </w:t>
      </w:r>
      <w:r w:rsidR="001E2A62">
        <w:t xml:space="preserve">Der Ersteher hat dafür Sorge zu tragen, </w:t>
      </w:r>
      <w:r>
        <w:t>dass der Betrag der Landesoberkasse vor dem Verteilungstermin gutgeschrieben ist und ein Nachwe</w:t>
      </w:r>
      <w:r w:rsidR="00BB16B1">
        <w:t xml:space="preserve">is hierüber im Termin vorliegt. </w:t>
      </w:r>
      <w:r>
        <w:t>E</w:t>
      </w:r>
      <w:r w:rsidR="004659F3">
        <w:t>ine entsprechende Zahlungsaufforderung werden Sie von Seiten des Gerichts</w:t>
      </w:r>
      <w:r>
        <w:t xml:space="preserve"> </w:t>
      </w:r>
      <w:r w:rsidR="004659F3">
        <w:t>rechtzeitig erhalten.</w:t>
      </w:r>
    </w:p>
    <w:p w:rsidR="004659F3" w:rsidRDefault="004659F3"/>
    <w:p w:rsidR="004659F3" w:rsidRDefault="004659F3"/>
    <w:p w:rsidR="004659F3" w:rsidRDefault="004659F3">
      <w:pPr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t>Welche Kosten kommen zusätzlich auf Sie zu:</w:t>
      </w:r>
    </w:p>
    <w:p w:rsidR="004659F3" w:rsidRDefault="004659F3">
      <w:pPr>
        <w:rPr>
          <w:b/>
          <w:u w:val="single"/>
        </w:rPr>
      </w:pPr>
    </w:p>
    <w:p w:rsidR="004659F3" w:rsidRDefault="004659F3">
      <w:pPr>
        <w:numPr>
          <w:ilvl w:val="0"/>
          <w:numId w:val="25"/>
        </w:numPr>
      </w:pPr>
      <w:r>
        <w:t>eine Gerichtsgebühr für die Erteilung des Zuschlags</w:t>
      </w:r>
    </w:p>
    <w:p w:rsidR="004659F3" w:rsidRDefault="004659F3">
      <w:pPr>
        <w:numPr>
          <w:ilvl w:val="0"/>
          <w:numId w:val="25"/>
        </w:numPr>
      </w:pPr>
      <w:r>
        <w:t>die Kosten der Eintragung in das Grundbuch</w:t>
      </w:r>
    </w:p>
    <w:p w:rsidR="004659F3" w:rsidRDefault="00EE2382">
      <w:pPr>
        <w:numPr>
          <w:ilvl w:val="0"/>
          <w:numId w:val="25"/>
        </w:numPr>
      </w:pPr>
      <w:r>
        <w:t xml:space="preserve">5 % Grunderwerbsteuer aus dem Erwerbspreis. </w:t>
      </w:r>
    </w:p>
    <w:p w:rsidR="004659F3" w:rsidRDefault="004659F3"/>
    <w:p w:rsidR="004659F3" w:rsidRDefault="007E52F8">
      <w:r>
        <w:br w:type="page"/>
      </w:r>
    </w:p>
    <w:p w:rsidR="004659F3" w:rsidRDefault="004659F3">
      <w:pPr>
        <w:numPr>
          <w:ilvl w:val="0"/>
          <w:numId w:val="21"/>
        </w:numPr>
        <w:rPr>
          <w:b/>
          <w:u w:val="single"/>
        </w:rPr>
      </w:pPr>
      <w:r>
        <w:rPr>
          <w:b/>
          <w:u w:val="single"/>
        </w:rPr>
        <w:lastRenderedPageBreak/>
        <w:t>a) Was, wenn der bisherige Eigentümer (Schuldner) im Objekt wohnt:</w:t>
      </w:r>
    </w:p>
    <w:p w:rsidR="004659F3" w:rsidRDefault="004659F3">
      <w:pPr>
        <w:rPr>
          <w:b/>
          <w:u w:val="single"/>
        </w:rPr>
      </w:pPr>
    </w:p>
    <w:p w:rsidR="00EE2382" w:rsidRDefault="004659F3">
      <w:pPr>
        <w:pStyle w:val="Textkrper-Zeileneinzug"/>
        <w:ind w:left="993"/>
      </w:pPr>
      <w:r>
        <w:t xml:space="preserve">Einer gesonderten Kündigung bedarf es hier nicht; der bisherige Eigentümer (Schuldner) hat aufgrund des Zuschlagsbeschlusses das Objekt zu räumen. </w:t>
      </w:r>
    </w:p>
    <w:p w:rsidR="00EE2382" w:rsidRDefault="004659F3">
      <w:pPr>
        <w:pStyle w:val="Textkrper-Zeileneinzug"/>
        <w:ind w:left="993"/>
      </w:pPr>
      <w:r>
        <w:t>Die Gewährung einer eventue</w:t>
      </w:r>
      <w:r w:rsidR="00EE2382">
        <w:t>llen Räumungsfrist gegen Erheben</w:t>
      </w:r>
      <w:r>
        <w:t xml:space="preserve"> einer </w:t>
      </w:r>
    </w:p>
    <w:p w:rsidR="004659F3" w:rsidRDefault="004659F3">
      <w:pPr>
        <w:pStyle w:val="Textkrper-Zeileneinzug"/>
        <w:ind w:left="993"/>
      </w:pPr>
      <w:r>
        <w:t>Nutzungsentschädigung obliegt Ihnen als Ersteher.</w:t>
      </w:r>
    </w:p>
    <w:p w:rsidR="004659F3" w:rsidRDefault="004659F3">
      <w:pPr>
        <w:ind w:left="708"/>
      </w:pPr>
    </w:p>
    <w:p w:rsidR="004659F3" w:rsidRDefault="004659F3">
      <w:pPr>
        <w:ind w:left="708"/>
      </w:pPr>
    </w:p>
    <w:p w:rsidR="004659F3" w:rsidRDefault="004659F3">
      <w:pPr>
        <w:rPr>
          <w:b/>
          <w:u w:val="single"/>
        </w:rPr>
      </w:pPr>
      <w:r>
        <w:tab/>
      </w:r>
      <w:r>
        <w:rPr>
          <w:b/>
          <w:u w:val="single"/>
        </w:rPr>
        <w:t>b) bei Mietern:</w:t>
      </w:r>
    </w:p>
    <w:p w:rsidR="004659F3" w:rsidRDefault="004659F3">
      <w:pPr>
        <w:rPr>
          <w:b/>
          <w:u w:val="single"/>
        </w:rPr>
      </w:pPr>
    </w:p>
    <w:p w:rsidR="004659F3" w:rsidRDefault="004659F3">
      <w:pPr>
        <w:pStyle w:val="Anrede"/>
      </w:pPr>
      <w:r>
        <w:t>Hier besteht grundsätzlich ein Sonderkündigungsrecht.</w:t>
      </w:r>
      <w:r w:rsidR="001E2A62">
        <w:t xml:space="preserve"> (Dies gilt nicht bei Teilungsversteigerungen zur Aufhebung der Gemeinschaft)</w:t>
      </w:r>
    </w:p>
    <w:p w:rsidR="004659F3" w:rsidRDefault="004659F3">
      <w:pPr>
        <w:pStyle w:val="Datum"/>
      </w:pPr>
    </w:p>
    <w:p w:rsidR="004659F3" w:rsidRDefault="004659F3"/>
    <w:p w:rsidR="004659F3" w:rsidRDefault="004659F3">
      <w:pPr>
        <w:numPr>
          <w:ilvl w:val="0"/>
          <w:numId w:val="21"/>
        </w:numPr>
        <w:rPr>
          <w:b/>
        </w:rPr>
      </w:pPr>
      <w:r>
        <w:t>Für die</w:t>
      </w:r>
      <w:r>
        <w:rPr>
          <w:b/>
        </w:rPr>
        <w:t xml:space="preserve"> Zwangsversteigerung zur Auflösung der Gemeinschaft</w:t>
      </w:r>
    </w:p>
    <w:p w:rsidR="004659F3" w:rsidRDefault="004659F3">
      <w:pPr>
        <w:ind w:firstLine="708"/>
      </w:pPr>
      <w:r>
        <w:rPr>
          <w:b/>
        </w:rPr>
        <w:t xml:space="preserve">(Teilungsversteigerung) </w:t>
      </w:r>
      <w:r>
        <w:t>gelten insbesondere folgende Besonderheiten:</w:t>
      </w:r>
    </w:p>
    <w:p w:rsidR="004659F3" w:rsidRDefault="004659F3">
      <w:pPr>
        <w:rPr>
          <w:b/>
        </w:rPr>
      </w:pPr>
    </w:p>
    <w:p w:rsidR="009615E3" w:rsidRDefault="009615E3">
      <w:pPr>
        <w:rPr>
          <w:b/>
        </w:rPr>
      </w:pPr>
    </w:p>
    <w:p w:rsidR="009615E3" w:rsidRPr="001E2A62" w:rsidRDefault="009615E3">
      <w:pPr>
        <w:rPr>
          <w:b/>
        </w:rPr>
      </w:pPr>
      <w:bookmarkStart w:id="1" w:name="_GoBack"/>
      <w:r w:rsidRPr="001E2A62">
        <w:rPr>
          <w:b/>
        </w:rPr>
        <w:t>Diese entnehmen Sie bitte dem gesonderten Hinweisblatt für Teilungsversteigerungen</w:t>
      </w:r>
      <w:bookmarkEnd w:id="1"/>
    </w:p>
    <w:sectPr w:rsidR="009615E3" w:rsidRPr="001E2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255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B1" w:rsidRDefault="007E24B1" w:rsidP="00FB7525">
      <w:r>
        <w:separator/>
      </w:r>
    </w:p>
  </w:endnote>
  <w:endnote w:type="continuationSeparator" w:id="0">
    <w:p w:rsidR="007E24B1" w:rsidRDefault="007E24B1" w:rsidP="00FB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5" w:rsidRDefault="00FB75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5" w:rsidRDefault="00FB75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5" w:rsidRDefault="00FB75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B1" w:rsidRDefault="007E24B1" w:rsidP="00FB7525">
      <w:r>
        <w:separator/>
      </w:r>
    </w:p>
  </w:footnote>
  <w:footnote w:type="continuationSeparator" w:id="0">
    <w:p w:rsidR="007E24B1" w:rsidRDefault="007E24B1" w:rsidP="00FB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5" w:rsidRDefault="00FB75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5" w:rsidRDefault="00FB75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25" w:rsidRDefault="00FB75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9416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79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A0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46D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AF1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629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D3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CE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86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DD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73CE2DE6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8C80B80"/>
    <w:multiLevelType w:val="singleLevel"/>
    <w:tmpl w:val="AF82AC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10EA0F6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F53306"/>
    <w:multiLevelType w:val="singleLevel"/>
    <w:tmpl w:val="716CA0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4ADA525D"/>
    <w:multiLevelType w:val="singleLevel"/>
    <w:tmpl w:val="DD6CF2C6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543754"/>
    <w:multiLevelType w:val="singleLevel"/>
    <w:tmpl w:val="94586F6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6" w15:restartNumberingAfterBreak="0">
    <w:nsid w:val="5A0B33A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17" w15:restartNumberingAfterBreak="0">
    <w:nsid w:val="5C574247"/>
    <w:multiLevelType w:val="singleLevel"/>
    <w:tmpl w:val="E0B2898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6"/>
  </w:num>
  <w:num w:numId="22">
    <w:abstractNumId w:val="11"/>
  </w:num>
  <w:num w:numId="23">
    <w:abstractNumId w:val="17"/>
  </w:num>
  <w:num w:numId="24">
    <w:abstractNumId w:val="15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B5"/>
    <w:rsid w:val="001255D9"/>
    <w:rsid w:val="00147250"/>
    <w:rsid w:val="00195E4F"/>
    <w:rsid w:val="001A29FE"/>
    <w:rsid w:val="001C58A3"/>
    <w:rsid w:val="001E2A62"/>
    <w:rsid w:val="002433C5"/>
    <w:rsid w:val="00276C09"/>
    <w:rsid w:val="002B0205"/>
    <w:rsid w:val="003217BC"/>
    <w:rsid w:val="00324359"/>
    <w:rsid w:val="003E35CA"/>
    <w:rsid w:val="004659F3"/>
    <w:rsid w:val="004810CC"/>
    <w:rsid w:val="005022BD"/>
    <w:rsid w:val="00537E49"/>
    <w:rsid w:val="005D5744"/>
    <w:rsid w:val="005E0206"/>
    <w:rsid w:val="005E7E63"/>
    <w:rsid w:val="005F012D"/>
    <w:rsid w:val="005F2354"/>
    <w:rsid w:val="0060524C"/>
    <w:rsid w:val="00640F94"/>
    <w:rsid w:val="006B56DE"/>
    <w:rsid w:val="00715637"/>
    <w:rsid w:val="00790C6A"/>
    <w:rsid w:val="007B2464"/>
    <w:rsid w:val="007C780C"/>
    <w:rsid w:val="007D7CFE"/>
    <w:rsid w:val="007E24B1"/>
    <w:rsid w:val="007E41F4"/>
    <w:rsid w:val="007E52F8"/>
    <w:rsid w:val="007F0F29"/>
    <w:rsid w:val="00881B25"/>
    <w:rsid w:val="00914499"/>
    <w:rsid w:val="00932C17"/>
    <w:rsid w:val="009615E3"/>
    <w:rsid w:val="00972AE2"/>
    <w:rsid w:val="009E0B40"/>
    <w:rsid w:val="009E3523"/>
    <w:rsid w:val="009F572C"/>
    <w:rsid w:val="00A141A7"/>
    <w:rsid w:val="00AA6DFC"/>
    <w:rsid w:val="00AD395C"/>
    <w:rsid w:val="00AF4E5C"/>
    <w:rsid w:val="00AF5AE9"/>
    <w:rsid w:val="00B14B17"/>
    <w:rsid w:val="00BA0042"/>
    <w:rsid w:val="00BB16B1"/>
    <w:rsid w:val="00BF1EC7"/>
    <w:rsid w:val="00C011AD"/>
    <w:rsid w:val="00C1617F"/>
    <w:rsid w:val="00C86FA3"/>
    <w:rsid w:val="00CC01A5"/>
    <w:rsid w:val="00D40957"/>
    <w:rsid w:val="00D46732"/>
    <w:rsid w:val="00D62870"/>
    <w:rsid w:val="00D7017E"/>
    <w:rsid w:val="00DF6F0F"/>
    <w:rsid w:val="00E70E52"/>
    <w:rsid w:val="00EC129B"/>
    <w:rsid w:val="00EE2382"/>
    <w:rsid w:val="00EF736D"/>
    <w:rsid w:val="00F77781"/>
    <w:rsid w:val="00FB31AE"/>
    <w:rsid w:val="00FB7525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D53A7"/>
  <w15:chartTrackingRefBased/>
  <w15:docId w15:val="{C4A96670-2ABB-4207-BF6D-3FFBBC7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1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8"/>
    </w:pPr>
  </w:style>
  <w:style w:type="paragraph" w:styleId="Abbildungsverzeichnis">
    <w:name w:val="table of figures"/>
    <w:basedOn w:val="Standard"/>
    <w:next w:val="Standard"/>
    <w:autoRedefine/>
    <w:semiHidden/>
    <w:pPr>
      <w:ind w:left="400" w:hanging="400"/>
    </w:pPr>
  </w:style>
  <w:style w:type="paragraph" w:styleId="Umschlagabsenderadresse">
    <w:name w:val="envelope return"/>
    <w:basedOn w:val="Standard"/>
    <w:autoRedefine/>
    <w:pPr>
      <w:jc w:val="center"/>
    </w:pPr>
    <w:rPr>
      <w:b/>
      <w:sz w:val="40"/>
    </w:rPr>
  </w:style>
  <w:style w:type="paragraph" w:styleId="Anrede">
    <w:name w:val="Salutation"/>
    <w:basedOn w:val="Standard"/>
    <w:next w:val="Standard"/>
    <w:autoRedefine/>
    <w:pPr>
      <w:ind w:left="993"/>
    </w:p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autoRedefine/>
    <w:qFormat/>
    <w:pPr>
      <w:spacing w:before="120" w:after="120"/>
    </w:pPr>
    <w:rPr>
      <w:b/>
    </w:rPr>
  </w:style>
  <w:style w:type="paragraph" w:styleId="Blocktext">
    <w:name w:val="Block Text"/>
    <w:basedOn w:val="Standard"/>
    <w:autoRedefine/>
    <w:pPr>
      <w:spacing w:after="120"/>
      <w:ind w:left="1440" w:right="1440"/>
    </w:pPr>
  </w:style>
  <w:style w:type="paragraph" w:styleId="Datum">
    <w:name w:val="Date"/>
    <w:basedOn w:val="Standard"/>
    <w:next w:val="Standard"/>
    <w:autoRedefine/>
  </w:style>
  <w:style w:type="character" w:styleId="Hervorhebung">
    <w:name w:val="Emphasis"/>
    <w:qFormat/>
    <w:rPr>
      <w:rFonts w:ascii="Arial" w:hAnsi="Arial"/>
    </w:rPr>
  </w:style>
  <w:style w:type="paragraph" w:styleId="Endnotentext">
    <w:name w:val="endnote text"/>
    <w:basedOn w:val="Standard"/>
    <w:autoRedefine/>
    <w:semiHidden/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paragraph" w:styleId="Fu-Endnotenberschrift">
    <w:name w:val="Note Heading"/>
    <w:basedOn w:val="Standard"/>
    <w:next w:val="Standard"/>
    <w:autoRedefine/>
  </w:style>
  <w:style w:type="paragraph" w:styleId="Funotentext">
    <w:name w:val="footnote text"/>
    <w:basedOn w:val="Standard"/>
    <w:autoRedefine/>
    <w:semiHidden/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rFonts w:ascii="Arial" w:hAnsi="Arial"/>
      <w:color w:val="800080"/>
      <w:u w:val="single"/>
    </w:rPr>
  </w:style>
  <w:style w:type="paragraph" w:styleId="Gruformel">
    <w:name w:val="Closing"/>
    <w:basedOn w:val="Standard"/>
    <w:autoRedefine/>
    <w:pPr>
      <w:ind w:left="4252"/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Kommentartext">
    <w:name w:val="annotation text"/>
    <w:basedOn w:val="Standard"/>
    <w:autoRedefine/>
    <w:semiHidden/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Liste">
    <w:name w:val="List"/>
    <w:basedOn w:val="Standard"/>
    <w:autoRedefine/>
    <w:pPr>
      <w:ind w:left="283" w:hanging="283"/>
    </w:pPr>
  </w:style>
  <w:style w:type="paragraph" w:styleId="Liste2">
    <w:name w:val="List 2"/>
    <w:basedOn w:val="Standard"/>
    <w:autoRedefine/>
    <w:pPr>
      <w:ind w:left="566" w:hanging="283"/>
    </w:pPr>
  </w:style>
  <w:style w:type="paragraph" w:styleId="Liste3">
    <w:name w:val="List 3"/>
    <w:basedOn w:val="Standard"/>
    <w:autoRedefine/>
    <w:pPr>
      <w:ind w:left="849" w:hanging="283"/>
    </w:pPr>
  </w:style>
  <w:style w:type="paragraph" w:styleId="Liste4">
    <w:name w:val="List 4"/>
    <w:basedOn w:val="Standard"/>
    <w:autoRedefine/>
    <w:pPr>
      <w:ind w:left="1132" w:hanging="283"/>
    </w:pPr>
  </w:style>
  <w:style w:type="paragraph" w:styleId="Liste5">
    <w:name w:val="List 5"/>
    <w:basedOn w:val="Standard"/>
    <w:autoRedefine/>
    <w:pPr>
      <w:ind w:left="1415" w:hanging="283"/>
    </w:pPr>
  </w:style>
  <w:style w:type="paragraph" w:styleId="Listenfortsetzung">
    <w:name w:val="List Continue"/>
    <w:basedOn w:val="Standard"/>
    <w:autoRedefine/>
    <w:pPr>
      <w:spacing w:after="120"/>
      <w:ind w:left="283"/>
    </w:pPr>
  </w:style>
  <w:style w:type="paragraph" w:styleId="Listenfortsetzung2">
    <w:name w:val="List Continue 2"/>
    <w:basedOn w:val="Standard"/>
    <w:autoRedefine/>
    <w:pPr>
      <w:spacing w:after="120"/>
      <w:ind w:left="566"/>
    </w:pPr>
  </w:style>
  <w:style w:type="paragraph" w:styleId="Listenfortsetzung3">
    <w:name w:val="List Continue 3"/>
    <w:basedOn w:val="Standard"/>
    <w:autoRedefine/>
    <w:pPr>
      <w:spacing w:after="120"/>
      <w:ind w:left="849"/>
    </w:pPr>
  </w:style>
  <w:style w:type="paragraph" w:styleId="Listenfortsetzung4">
    <w:name w:val="List Continue 4"/>
    <w:basedOn w:val="Standard"/>
    <w:autoRedefine/>
    <w:pPr>
      <w:spacing w:after="120"/>
      <w:ind w:left="1132"/>
    </w:pPr>
  </w:style>
  <w:style w:type="paragraph" w:styleId="Listenfortsetzung5">
    <w:name w:val="List Continue 5"/>
    <w:basedOn w:val="Standard"/>
    <w:autoRedefine/>
    <w:pPr>
      <w:spacing w:after="120"/>
      <w:ind w:left="1415"/>
    </w:pPr>
  </w:style>
  <w:style w:type="paragraph" w:styleId="Listennummer">
    <w:name w:val="List Number"/>
    <w:basedOn w:val="Standard"/>
    <w:autoRedefine/>
    <w:pPr>
      <w:numPr>
        <w:numId w:val="6"/>
      </w:numPr>
    </w:pPr>
  </w:style>
  <w:style w:type="paragraph" w:styleId="Listennummer2">
    <w:name w:val="List Number 2"/>
    <w:basedOn w:val="Standard"/>
    <w:autoRedefine/>
    <w:pPr>
      <w:numPr>
        <w:numId w:val="7"/>
      </w:numPr>
    </w:pPr>
  </w:style>
  <w:style w:type="paragraph" w:styleId="Listennummer3">
    <w:name w:val="List Number 3"/>
    <w:basedOn w:val="Standard"/>
    <w:autoRedefine/>
    <w:pPr>
      <w:numPr>
        <w:numId w:val="8"/>
      </w:numPr>
    </w:pPr>
  </w:style>
  <w:style w:type="paragraph" w:styleId="Listennummer4">
    <w:name w:val="List Number 4"/>
    <w:basedOn w:val="Standard"/>
    <w:autoRedefine/>
    <w:pPr>
      <w:numPr>
        <w:numId w:val="9"/>
      </w:numPr>
    </w:pPr>
  </w:style>
  <w:style w:type="paragraph" w:styleId="Listennummer5">
    <w:name w:val="List Number 5"/>
    <w:basedOn w:val="Standard"/>
    <w:autoRedefine/>
    <w:pPr>
      <w:numPr>
        <w:numId w:val="10"/>
      </w:numPr>
    </w:pPr>
  </w:style>
  <w:style w:type="character" w:styleId="Seitenzahl">
    <w:name w:val="pag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character" w:styleId="Zeilennummer">
    <w:name w:val="line number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Sprechblasentext">
    <w:name w:val="Balloon Text"/>
    <w:basedOn w:val="Standard"/>
    <w:semiHidden/>
    <w:rsid w:val="00FD57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C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ersteigerungspool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29E7-6B1B-41F8-A28C-4874448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Baden-Württemberg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Justizbehörden</dc:creator>
  <cp:keywords/>
  <dc:description/>
  <cp:lastModifiedBy>Wricke, Tanja (AG Emmendingen)</cp:lastModifiedBy>
  <cp:revision>8</cp:revision>
  <cp:lastPrinted>2015-01-15T12:49:00Z</cp:lastPrinted>
  <dcterms:created xsi:type="dcterms:W3CDTF">2023-12-13T13:44:00Z</dcterms:created>
  <dcterms:modified xsi:type="dcterms:W3CDTF">2024-02-09T09:38:00Z</dcterms:modified>
</cp:coreProperties>
</file>